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学费查询系统教工查询方式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1.登陆学校网页，找到学费查询系统点击进入。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4209415"/>
            <wp:effectExtent l="0" t="0" r="825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2.进入登陆页面。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护理系登录名：84825182 密码：825182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临床医学部登录名：84825140 密码：825140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药学系登录名：84825168  密码：825168 </w:t>
      </w:r>
      <w:r>
        <w:drawing>
          <wp:inline distT="0" distB="0" distL="114300" distR="114300">
            <wp:extent cx="5269865" cy="2871470"/>
            <wp:effectExtent l="0" t="0" r="698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3.登陆系统后，首先由领导角色变更为教工角色。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230" cy="3949700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各项统计查询功能介绍</w:t>
      </w:r>
    </w:p>
    <w:p>
      <w:pPr>
        <w:rPr>
          <w:rFonts w:hint="eastAsia" w:ascii="WVUEFF+ËÎÌå" w:hAnsi="WVUEFF+ËÎÌå" w:eastAsia="宋体" w:cs="WVUEFF+ËÎÌå"/>
          <w:color w:val="000000"/>
          <w:sz w:val="21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ascii="WVUEFF+ËÎÌå" w:hAnsi="WVUEFF+ËÎÌå" w:cs="WVUEFF+ËÎÌå"/>
          <w:color w:val="000000"/>
          <w:sz w:val="21"/>
        </w:rPr>
        <w:t>部门学生学杂费</w:t>
      </w:r>
      <w:r>
        <w:rPr>
          <w:rFonts w:hint="eastAsia" w:ascii="WVUEFF+ËÎÌå" w:hAnsi="WVUEFF+ËÎÌå" w:eastAsia="宋体" w:cs="WVUEFF+ËÎÌå"/>
          <w:color w:val="000000"/>
          <w:sz w:val="21"/>
          <w:lang w:eastAsia="zh-CN"/>
        </w:rPr>
        <w:t>信息</w:t>
      </w:r>
    </w:p>
    <w:p>
      <w:pPr>
        <w:rPr>
          <w:rFonts w:hint="eastAsia" w:ascii="WVUEFF+ËÎÌå" w:hAnsi="WVUEFF+ËÎÌå" w:cs="WVUEFF+ËÎÌå"/>
          <w:color w:val="000000"/>
          <w:sz w:val="21"/>
        </w:rPr>
      </w:pPr>
      <w:r>
        <w:rPr>
          <w:rFonts w:hint="eastAsia"/>
          <w:lang w:eastAsia="zh-CN"/>
        </w:rPr>
        <w:t>点击</w:t>
      </w:r>
      <w:r>
        <w:rPr>
          <w:rFonts w:ascii="WVUEFF+ËÎÌå" w:hAnsi="WVUEFF+ËÎÌå" w:cs="WVUEFF+ËÎÌå"/>
          <w:color w:val="000000"/>
          <w:sz w:val="21"/>
        </w:rPr>
        <w:t>菜单</w:t>
      </w:r>
      <w:r>
        <w:rPr>
          <w:rFonts w:hint="eastAsia" w:ascii="WVUEFF+ËÎÌå" w:hAnsi="WVUEFF+ËÎÌå" w:cs="WVUEFF+ËÎÌå"/>
          <w:color w:val="000000"/>
          <w:sz w:val="21"/>
        </w:rPr>
        <w:t>【学生信息】【部门学生学杂费信息】进入操作界面，指定起止年份然后单击【查</w:t>
      </w:r>
    </w:p>
    <w:p>
      <w:pPr>
        <w:rPr>
          <w:rFonts w:ascii="WVUEFF+ËÎÌå" w:hAnsi="WVUEFF+ËÎÌå" w:cs="WVUEFF+ËÎÌå"/>
          <w:color w:val="000000"/>
          <w:sz w:val="21"/>
        </w:rPr>
      </w:pPr>
      <w:r>
        <w:rPr>
          <w:rFonts w:hint="eastAsia" w:ascii="WVUEFF+ËÎÌå" w:hAnsi="WVUEFF+ËÎÌå" w:cs="WVUEFF+ËÎÌå"/>
          <w:color w:val="000000"/>
          <w:sz w:val="21"/>
        </w:rPr>
        <w:t>询】按钮即可得到当前登录领导所辖部门各收费项目的应收、实收、退费、减免、欠费汇总</w:t>
      </w:r>
    </w:p>
    <w:p>
      <w:pPr>
        <w:rPr>
          <w:rFonts w:ascii="WVUEFF+ËÎÌå" w:hAnsi="WVUEFF+ËÎÌå" w:cs="WVUEFF+ËÎÌå"/>
          <w:color w:val="000000"/>
          <w:sz w:val="21"/>
        </w:rPr>
      </w:pPr>
      <w:r>
        <w:rPr>
          <w:rFonts w:hint="eastAsia" w:ascii="WVUEFF+ËÎÌå" w:hAnsi="WVUEFF+ËÎÌå" w:cs="WVUEFF+ËÎÌå"/>
          <w:color w:val="000000"/>
          <w:sz w:val="21"/>
          <w:lang w:eastAsia="zh-CN"/>
        </w:rPr>
        <w:t>数。</w:t>
      </w:r>
    </w:p>
    <w:p/>
    <w:p>
      <w:r>
        <w:drawing>
          <wp:inline distT="0" distB="0" distL="114300" distR="114300">
            <wp:extent cx="5265420" cy="2611755"/>
            <wp:effectExtent l="0" t="0" r="1143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在明细查询页也可以指定部门、学生性质、收费项目等进行查询。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2、欠费情况统计表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点击菜单【学生信息】【欠费情况统计表】进入操作界面，指定起止年份然后单击【查询】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按钮即可得到当前登录领导所辖部门各收费项目的应收、实收、退费、减免、欠费汇总数。</w:t>
      </w:r>
    </w:p>
    <w:p>
      <w:r>
        <w:drawing>
          <wp:inline distT="0" distB="0" distL="114300" distR="114300">
            <wp:extent cx="5265420" cy="2574925"/>
            <wp:effectExtent l="0" t="0" r="11430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WVUEFF+ËÎÌå" w:hAnsi="WVUEFF+ËÎÌå" w:cs="WVUEFF+ËÎÌå"/>
          <w:color w:val="000000"/>
          <w:sz w:val="21"/>
          <w:lang w:eastAsia="zh-CN"/>
        </w:rPr>
      </w:pPr>
      <w:r>
        <w:rPr>
          <w:rFonts w:ascii="WVUEFF+ËÎÌå" w:hAnsi="WVUEFF+ËÎÌå" w:cs="WVUEFF+ËÎÌå"/>
          <w:color w:val="000000"/>
          <w:sz w:val="21"/>
        </w:rPr>
        <w:t>单击结果集中每一行最后一列的“明细”超链接可以进一步查看该部门的欠费明细信息</w:t>
      </w:r>
      <w:r>
        <w:rPr>
          <w:rFonts w:hint="eastAsia" w:ascii="WVUEFF+ËÎÌå" w:hAnsi="WVUEFF+ËÎÌå" w:cs="WVUEFF+ËÎÌå"/>
          <w:color w:val="000000"/>
          <w:sz w:val="21"/>
          <w:lang w:eastAsia="zh-CN"/>
        </w:rPr>
        <w:t>。</w:t>
      </w:r>
    </w:p>
    <w:p>
      <w:pPr>
        <w:rPr>
          <w:rFonts w:ascii="WVUEFF+ËÎÌå" w:hAnsi="WVUEFF+ËÎÌå" w:cs="WVUEFF+ËÎÌå"/>
          <w:color w:val="000000"/>
          <w:sz w:val="21"/>
        </w:rPr>
      </w:pPr>
      <w:r>
        <w:rPr>
          <w:rFonts w:ascii="WVUEFF+ËÎÌå" w:hAnsi="WVUEFF+ËÎÌå" w:cs="WVUEFF+ËÎÌå"/>
          <w:color w:val="000000"/>
          <w:sz w:val="21"/>
        </w:rPr>
        <w:t>在明细查询页也可以指定起止年份、院系、专业、收费项目、班级等进行查询。</w:t>
      </w:r>
    </w:p>
    <w:p>
      <w:r>
        <w:drawing>
          <wp:inline distT="0" distB="0" distL="114300" distR="114300">
            <wp:extent cx="5268595" cy="2308860"/>
            <wp:effectExtent l="0" t="0" r="825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3、收费情况统计表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点击菜单【学生信息】【收费情况统计表】进入操作界面，指定起止年份然后单击【查询】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按钮即可得到当前登录领导所辖部门各收费项目的应收、实收、退费、减免、欠费汇总数。</w:t>
      </w:r>
    </w:p>
    <w:p>
      <w:r>
        <w:drawing>
          <wp:inline distT="0" distB="0" distL="114300" distR="114300">
            <wp:extent cx="5268595" cy="2552065"/>
            <wp:effectExtent l="0" t="0" r="825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WVUEFF+ËÎÌå" w:hAnsi="WVUEFF+ËÎÌå" w:cs="WVUEFF+ËÎÌå"/>
          <w:color w:val="000000"/>
          <w:sz w:val="21"/>
          <w:lang w:eastAsia="zh-CN"/>
        </w:rPr>
      </w:pPr>
      <w:r>
        <w:rPr>
          <w:rFonts w:ascii="WVUEFF+ËÎÌå" w:hAnsi="WVUEFF+ËÎÌå" w:cs="WVUEFF+ËÎÌå"/>
          <w:color w:val="000000"/>
          <w:sz w:val="21"/>
        </w:rPr>
        <w:t>单击结果集中每一行最后一列的“明细”超链接可以进一步查看该部门的收费明细信息</w:t>
      </w:r>
      <w:r>
        <w:rPr>
          <w:rFonts w:hint="eastAsia" w:ascii="WVUEFF+ËÎÌå" w:hAnsi="WVUEFF+ËÎÌå" w:cs="WVUEFF+ËÎÌå"/>
          <w:color w:val="000000"/>
          <w:sz w:val="21"/>
          <w:lang w:eastAsia="zh-CN"/>
        </w:rPr>
        <w:t>。</w:t>
      </w:r>
    </w:p>
    <w:p>
      <w:pPr>
        <w:rPr>
          <w:rFonts w:hint="eastAsia" w:ascii="WVUEFF+ËÎÌå" w:hAnsi="WVUEFF+ËÎÌå" w:cs="WVUEFF+ËÎÌå"/>
          <w:color w:val="000000"/>
          <w:sz w:val="21"/>
          <w:lang w:val="en-US" w:eastAsia="zh-CN"/>
        </w:rPr>
      </w:pPr>
      <w:r>
        <w:rPr>
          <w:rFonts w:hint="eastAsia" w:ascii="WVUEFF+ËÎÌå" w:hAnsi="WVUEFF+ËÎÌå" w:cs="WVUEFF+ËÎÌå"/>
          <w:color w:val="000000"/>
          <w:sz w:val="21"/>
          <w:lang w:val="en-US" w:eastAsia="zh-CN"/>
        </w:rPr>
        <w:t>在明细查询页也可以指定起止年份、院系、专业、收费项目、班级等进行查询。汇总方式可</w:t>
      </w:r>
    </w:p>
    <w:p>
      <w:pPr>
        <w:rPr>
          <w:rFonts w:hint="eastAsia" w:ascii="WVUEFF+ËÎÌå" w:hAnsi="WVUEFF+ËÎÌå" w:cs="WVUEFF+ËÎÌå"/>
          <w:color w:val="000000"/>
          <w:sz w:val="21"/>
          <w:lang w:val="en-US" w:eastAsia="zh-CN"/>
        </w:rPr>
      </w:pPr>
      <w:r>
        <w:rPr>
          <w:rFonts w:hint="eastAsia" w:ascii="WVUEFF+ËÎÌå" w:hAnsi="WVUEFF+ËÎÌå" w:cs="WVUEFF+ËÎÌå"/>
          <w:color w:val="000000"/>
          <w:sz w:val="21"/>
          <w:lang w:val="en-US" w:eastAsia="zh-CN"/>
        </w:rPr>
        <w:t>以选择按院系、专业、班级、个人进行汇总。</w:t>
      </w:r>
    </w:p>
    <w:p>
      <w:pPr>
        <w:rPr>
          <w:rFonts w:hint="eastAsia" w:ascii="WVUEFF+ËÎÌå" w:hAnsi="WVUEFF+ËÎÌå" w:cs="WVUEFF+ËÎÌå"/>
          <w:color w:val="000000"/>
          <w:sz w:val="21"/>
          <w:lang w:val="en-US" w:eastAsia="zh-CN"/>
        </w:rPr>
      </w:pPr>
      <w:r>
        <w:drawing>
          <wp:inline distT="0" distB="0" distL="114300" distR="114300">
            <wp:extent cx="5269230" cy="2832100"/>
            <wp:effectExtent l="0" t="0" r="762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WVUEFF+ËÎÌå" w:hAnsi="WVUEFF+ËÎÌå" w:cs="WVUEFF+ËÎÌå"/>
          <w:color w:val="000000"/>
          <w:sz w:val="21"/>
          <w:lang w:val="en-US" w:eastAsia="zh-CN"/>
        </w:rPr>
      </w:pPr>
      <w:r>
        <w:rPr>
          <w:rFonts w:hint="eastAsia" w:ascii="WVUEFF+ËÎÌå" w:hAnsi="WVUEFF+ËÎÌå" w:cs="WVUEFF+ËÎÌå"/>
          <w:color w:val="000000"/>
          <w:sz w:val="21"/>
          <w:lang w:val="en-US" w:eastAsia="zh-CN"/>
        </w:rPr>
        <w:t>4、学生信息查询</w:t>
      </w:r>
    </w:p>
    <w:p>
      <w:pPr>
        <w:rPr>
          <w:rFonts w:hint="eastAsia" w:ascii="WVUEFF+ËÎÌå" w:hAnsi="WVUEFF+ËÎÌå" w:cs="WVUEFF+ËÎÌå"/>
          <w:color w:val="000000"/>
          <w:sz w:val="21"/>
          <w:lang w:val="en-US" w:eastAsia="zh-CN"/>
        </w:rPr>
      </w:pPr>
      <w:r>
        <w:rPr>
          <w:rFonts w:hint="eastAsia" w:ascii="WVUEFF+ËÎÌå" w:hAnsi="WVUEFF+ËÎÌå" w:cs="WVUEFF+ËÎÌå"/>
          <w:color w:val="000000"/>
          <w:sz w:val="21"/>
          <w:lang w:val="en-US" w:eastAsia="zh-CN"/>
        </w:rPr>
        <w:t>点击菜单【学生信息】【学生信息查询】进入操作界面，指定部门、班级可以查到具体的学</w:t>
      </w:r>
    </w:p>
    <w:p>
      <w:pPr>
        <w:rPr>
          <w:rFonts w:hint="eastAsia" w:ascii="WVUEFF+ËÎÌå" w:hAnsi="WVUEFF+ËÎÌå" w:cs="WVUEFF+ËÎÌå"/>
          <w:color w:val="000000"/>
          <w:sz w:val="21"/>
          <w:lang w:val="en-US" w:eastAsia="zh-CN"/>
        </w:rPr>
      </w:pPr>
      <w:r>
        <w:rPr>
          <w:rFonts w:hint="eastAsia" w:ascii="WVUEFF+ËÎÌå" w:hAnsi="WVUEFF+ËÎÌå" w:cs="WVUEFF+ËÎÌå"/>
          <w:color w:val="000000"/>
          <w:sz w:val="21"/>
          <w:lang w:val="en-US" w:eastAsia="zh-CN"/>
        </w:rPr>
        <w:t>生信息。</w:t>
      </w:r>
    </w:p>
    <w:p>
      <w:r>
        <w:drawing>
          <wp:inline distT="0" distB="0" distL="114300" distR="114300">
            <wp:extent cx="5271770" cy="2965450"/>
            <wp:effectExtent l="0" t="0" r="5080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 w:ascii="WVUEFF+ËÎÌå" w:hAnsi="WVUEFF+ËÎÌå" w:cs="WVUEFF+ËÎÌå"/>
          <w:color w:val="000000"/>
          <w:sz w:val="21"/>
          <w:lang w:val="en-US" w:eastAsia="zh-CN"/>
        </w:rPr>
      </w:pPr>
    </w:p>
    <w:p>
      <w:pPr>
        <w:rPr>
          <w:rFonts w:hint="eastAsia" w:ascii="WVUEFF+ËÎÌå" w:hAnsi="WVUEFF+ËÎÌå" w:cs="WVUEFF+ËÎÌå"/>
          <w:color w:val="000000"/>
          <w:sz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WVUEFF+ËÎÌå">
    <w:altName w:val="新宋体"/>
    <w:panose1 w:val="02010600030101010101"/>
    <w:charset w:val="01"/>
    <w:family w:val="auto"/>
    <w:pitch w:val="default"/>
    <w:sig w:usb0="00000000" w:usb1="00000000" w:usb2="00000000" w:usb3="00000000" w:csb0="00040001" w:csb1="00000000"/>
  </w:font>
  <w:font w:name="MWUTBG+Î¢ÈíÑÅºÚ">
    <w:altName w:val="微软雅黑"/>
    <w:panose1 w:val="020B0503020204020204"/>
    <w:charset w:val="01"/>
    <w:family w:val="swiss"/>
    <w:pitch w:val="default"/>
    <w:sig w:usb0="00000000" w:usb1="00000000" w:usb2="00000000" w:usb3="00000000" w:csb0="00040001" w:csb1="00000000"/>
  </w:font>
  <w:font w:name="CBCAIW+Î¢ÈíÑÅºÚ">
    <w:altName w:val="微软雅黑"/>
    <w:panose1 w:val="020B0503020204020204"/>
    <w:charset w:val="01"/>
    <w:family w:val="swiss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IBRWNU+ºÚÌå">
    <w:altName w:val="SimSun-ExtB"/>
    <w:panose1 w:val="02010609060101010101"/>
    <w:charset w:val="01"/>
    <w:family w:val="modern"/>
    <w:pitch w:val="default"/>
    <w:sig w:usb0="00000000" w:usb1="00000000" w:usb2="00000000" w:usb3="00000000" w:csb0="00040001" w:csb1="00000000"/>
  </w:font>
  <w:font w:name="JODUDS+ËÎÌå">
    <w:altName w:val="新宋体"/>
    <w:panose1 w:val="02010600030101010101"/>
    <w:charset w:val="01"/>
    <w:family w:val="auto"/>
    <w:pitch w:val="default"/>
    <w:sig w:usb0="00000000" w:usb1="00000000" w:usb2="00000000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A2"/>
    <w:rsid w:val="00B52DA2"/>
    <w:rsid w:val="1E207E64"/>
    <w:rsid w:val="57A06676"/>
    <w:rsid w:val="7EFB119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2017-03-27T02:39:00Z</dcterms:created>
  <dc:creator>lenovo</dc:creator>
  <cp:lastModifiedBy>lenovo</cp:lastModifiedBy>
  <dcterms:modified xsi:type="dcterms:W3CDTF">2017-04-18T02:44:35Z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